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0C9C1D00" w:rsidR="001A53D6" w:rsidRPr="00C66E4D" w:rsidRDefault="000E2A15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0E2A15">
              <w:rPr>
                <w:rFonts w:ascii="Times New Roman" w:hAnsi="Times New Roman" w:cs="Times New Roman"/>
                <w:b/>
                <w:color w:val="000000" w:themeColor="text1"/>
              </w:rPr>
              <w:t>JCEC-2909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037BF3F" w:rsidR="003069E0" w:rsidRPr="00C66E4D" w:rsidRDefault="000E2A15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E2A15">
              <w:rPr>
                <w:rFonts w:ascii="Times New Roman" w:hAnsi="Times New Roman" w:cs="Times New Roman"/>
                <w:b/>
                <w:color w:val="000000" w:themeColor="text1"/>
              </w:rPr>
              <w:t>Chung Yuan Kung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6400D50D" w:rsidR="002A5015" w:rsidRPr="00C66E4D" w:rsidRDefault="00E9204E" w:rsidP="00D538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0E2A15" w:rsidRPr="000E2A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Conjugated (complementary) coupling for two Penrose tiles pair and their elementary unit cell for translation tiles</w:t>
            </w:r>
          </w:p>
          <w:p w14:paraId="7D4E42DB" w14:textId="4168F7AF" w:rsidR="00927005" w:rsidRDefault="00140858" w:rsidP="00240083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0E2A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</w:t>
            </w:r>
            <w:r w:rsidR="000E2A15" w:rsidRPr="000E2A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he article presents valuable insights into the construction and coupling of pentagonal Penrose tiles. With some revisions to improve clarity and conciseness, it has the potential to make a significant contribution to the field of Penrose tiling and </w:t>
            </w:r>
            <w:proofErr w:type="spellStart"/>
            <w:r w:rsidR="000E2A15" w:rsidRPr="000E2A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quasicrystals</w:t>
            </w:r>
            <w:proofErr w:type="spellEnd"/>
            <w:r w:rsidR="000E2A15" w:rsidRPr="000E2A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0E3CF863" w14:textId="54A41ACE" w:rsidR="00240083" w:rsidRDefault="00927005" w:rsidP="00240083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Introduction</w:t>
            </w:r>
            <w:r w:rsidR="00240083" w:rsidRPr="00240083">
              <w:rPr>
                <w:rFonts w:ascii="Times New Roman" w:hAnsi="Times New Roman" w:cs="Times New Roman"/>
                <w:bCs/>
                <w:szCs w:val="24"/>
              </w:rPr>
              <w:t xml:space="preserve">: - </w:t>
            </w:r>
            <w:r w:rsidR="000E2A15" w:rsidRPr="000E2A15">
              <w:rPr>
                <w:rFonts w:ascii="Times New Roman" w:hAnsi="Times New Roman" w:cs="Times New Roman"/>
                <w:bCs/>
                <w:szCs w:val="24"/>
              </w:rPr>
              <w:t xml:space="preserve">The introduction provides a comprehensive overview of Penrose tiling, its historical background, and its significance in the study of </w:t>
            </w:r>
            <w:proofErr w:type="spellStart"/>
            <w:r w:rsidR="000E2A15" w:rsidRPr="000E2A15">
              <w:rPr>
                <w:rFonts w:ascii="Times New Roman" w:hAnsi="Times New Roman" w:cs="Times New Roman"/>
                <w:bCs/>
                <w:szCs w:val="24"/>
              </w:rPr>
              <w:t>quasicrystals</w:t>
            </w:r>
            <w:proofErr w:type="spellEnd"/>
            <w:r w:rsidR="000E2A15" w:rsidRPr="000E2A15">
              <w:rPr>
                <w:rFonts w:ascii="Times New Roman" w:hAnsi="Times New Roman" w:cs="Times New Roman"/>
                <w:bCs/>
                <w:szCs w:val="24"/>
              </w:rPr>
              <w:t xml:space="preserve">. It effectively sets the stage for the specific focus of the research. However, there is repetition of certain information, particularly regarding Roger Penrose's contributions, which </w:t>
            </w:r>
            <w:proofErr w:type="gramStart"/>
            <w:r w:rsidR="000E2A15" w:rsidRPr="000E2A15">
              <w:rPr>
                <w:rFonts w:ascii="Times New Roman" w:hAnsi="Times New Roman" w:cs="Times New Roman"/>
                <w:bCs/>
                <w:szCs w:val="24"/>
              </w:rPr>
              <w:t>could be streamlined</w:t>
            </w:r>
            <w:proofErr w:type="gramEnd"/>
            <w:r w:rsidR="000E2A15" w:rsidRPr="000E2A15">
              <w:rPr>
                <w:rFonts w:ascii="Times New Roman" w:hAnsi="Times New Roman" w:cs="Times New Roman"/>
                <w:bCs/>
                <w:szCs w:val="24"/>
              </w:rPr>
              <w:t xml:space="preserve"> for clarity.</w:t>
            </w:r>
          </w:p>
          <w:p w14:paraId="3E32E545" w14:textId="77777777" w:rsidR="000E2A15" w:rsidRDefault="000E2A15" w:rsidP="00240083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58A4750" w14:textId="395468C9" w:rsidR="000E2A15" w:rsidRPr="000E2A15" w:rsidRDefault="000E2A15" w:rsidP="000E2A1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E2A15">
              <w:rPr>
                <w:rFonts w:ascii="Times New Roman" w:hAnsi="Times New Roman" w:cs="Times New Roman"/>
                <w:bCs/>
                <w:szCs w:val="24"/>
              </w:rPr>
              <w:t xml:space="preserve">Provide a brief explanation of Penrose tiling principles and the significance of aperiodic </w:t>
            </w:r>
            <w:proofErr w:type="spellStart"/>
            <w:r w:rsidRPr="000E2A15">
              <w:rPr>
                <w:rFonts w:ascii="Times New Roman" w:hAnsi="Times New Roman" w:cs="Times New Roman"/>
                <w:bCs/>
                <w:szCs w:val="24"/>
              </w:rPr>
              <w:t>tilings</w:t>
            </w:r>
            <w:proofErr w:type="spellEnd"/>
            <w:r w:rsidRPr="000E2A15">
              <w:rPr>
                <w:rFonts w:ascii="Times New Roman" w:hAnsi="Times New Roman" w:cs="Times New Roman"/>
                <w:bCs/>
                <w:szCs w:val="24"/>
              </w:rPr>
              <w:t xml:space="preserve"> in the introduction to set the stage for readers.</w:t>
            </w:r>
          </w:p>
          <w:p w14:paraId="7A34D713" w14:textId="29FB9C80" w:rsidR="000E2A15" w:rsidRPr="000E2A15" w:rsidRDefault="000E2A15" w:rsidP="000E2A1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E2A15">
              <w:rPr>
                <w:rFonts w:ascii="Times New Roman" w:hAnsi="Times New Roman" w:cs="Times New Roman"/>
                <w:bCs/>
                <w:szCs w:val="24"/>
              </w:rPr>
              <w:t>Offer detailed explanations of the coupling techniques employed, including the rationale behind each method and the steps involved in achieving defect-free coupling.</w:t>
            </w:r>
          </w:p>
          <w:p w14:paraId="34AF941F" w14:textId="26FCA54E" w:rsidR="000E2A15" w:rsidRPr="000E2A15" w:rsidRDefault="000E2A15" w:rsidP="000E2A1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E2A15">
              <w:rPr>
                <w:rFonts w:ascii="Times New Roman" w:hAnsi="Times New Roman" w:cs="Times New Roman"/>
                <w:bCs/>
                <w:szCs w:val="24"/>
              </w:rPr>
              <w:t xml:space="preserve">Expand on the potential implications of the research findings for the field of </w:t>
            </w:r>
            <w:proofErr w:type="spellStart"/>
            <w:r w:rsidRPr="000E2A15">
              <w:rPr>
                <w:rFonts w:ascii="Times New Roman" w:hAnsi="Times New Roman" w:cs="Times New Roman"/>
                <w:bCs/>
                <w:szCs w:val="24"/>
              </w:rPr>
              <w:t>quasicrystals</w:t>
            </w:r>
            <w:proofErr w:type="spellEnd"/>
            <w:r w:rsidRPr="000E2A15">
              <w:rPr>
                <w:rFonts w:ascii="Times New Roman" w:hAnsi="Times New Roman" w:cs="Times New Roman"/>
                <w:bCs/>
                <w:szCs w:val="24"/>
              </w:rPr>
              <w:t xml:space="preserve"> and aperiodic </w:t>
            </w:r>
            <w:proofErr w:type="spellStart"/>
            <w:r w:rsidRPr="000E2A15">
              <w:rPr>
                <w:rFonts w:ascii="Times New Roman" w:hAnsi="Times New Roman" w:cs="Times New Roman"/>
                <w:bCs/>
                <w:szCs w:val="24"/>
              </w:rPr>
              <w:t>tilings</w:t>
            </w:r>
            <w:proofErr w:type="spellEnd"/>
            <w:r w:rsidRPr="000E2A15">
              <w:rPr>
                <w:rFonts w:ascii="Times New Roman" w:hAnsi="Times New Roman" w:cs="Times New Roman"/>
                <w:bCs/>
                <w:szCs w:val="24"/>
              </w:rPr>
              <w:t>. Consider discussing potential applications of Penrose tiles in various fields, such as materials science or cryptography.</w:t>
            </w:r>
          </w:p>
          <w:p w14:paraId="455E7A38" w14:textId="0916F817" w:rsidR="000E2A15" w:rsidRPr="000E2A15" w:rsidRDefault="000E2A15" w:rsidP="000E2A1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E2A15">
              <w:rPr>
                <w:rFonts w:ascii="Times New Roman" w:hAnsi="Times New Roman" w:cs="Times New Roman"/>
                <w:bCs/>
                <w:szCs w:val="24"/>
              </w:rPr>
              <w:t>Explore future research directions that could build upon the findings presented in the manuscript, including possible extensions of the study or new avenues for investigation.</w:t>
            </w:r>
          </w:p>
          <w:p w14:paraId="4A4B21EF" w14:textId="77777777" w:rsidR="006866F8" w:rsidRPr="00020ABD" w:rsidRDefault="006866F8" w:rsidP="00020A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E68CB" w14:textId="77777777" w:rsidR="00DE149B" w:rsidRDefault="00DE149B" w:rsidP="00F65AB0">
      <w:pPr>
        <w:spacing w:after="0" w:line="240" w:lineRule="auto"/>
      </w:pPr>
      <w:r>
        <w:separator/>
      </w:r>
    </w:p>
  </w:endnote>
  <w:endnote w:type="continuationSeparator" w:id="0">
    <w:p w14:paraId="3A6D5626" w14:textId="77777777" w:rsidR="00DE149B" w:rsidRDefault="00DE149B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BBED2" w14:textId="77777777" w:rsidR="00DE149B" w:rsidRDefault="00DE149B" w:rsidP="00F65AB0">
      <w:pPr>
        <w:spacing w:after="0" w:line="240" w:lineRule="auto"/>
      </w:pPr>
      <w:r>
        <w:separator/>
      </w:r>
    </w:p>
  </w:footnote>
  <w:footnote w:type="continuationSeparator" w:id="0">
    <w:p w14:paraId="1234DDDD" w14:textId="77777777" w:rsidR="00DE149B" w:rsidRDefault="00DE149B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22229"/>
    <w:multiLevelType w:val="hybridMultilevel"/>
    <w:tmpl w:val="752A5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1B69D4"/>
    <w:multiLevelType w:val="multilevel"/>
    <w:tmpl w:val="B48E5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  <w:sz w:val="22"/>
      </w:rPr>
    </w:lvl>
  </w:abstractNum>
  <w:abstractNum w:abstractNumId="26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C11F2C"/>
    <w:multiLevelType w:val="hybridMultilevel"/>
    <w:tmpl w:val="3D626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166EAF"/>
    <w:multiLevelType w:val="hybridMultilevel"/>
    <w:tmpl w:val="09660F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330B2"/>
    <w:multiLevelType w:val="hybridMultilevel"/>
    <w:tmpl w:val="AB9E7C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210EBB"/>
    <w:multiLevelType w:val="hybridMultilevel"/>
    <w:tmpl w:val="8D7AEF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9"/>
  </w:num>
  <w:num w:numId="4">
    <w:abstractNumId w:val="1"/>
  </w:num>
  <w:num w:numId="5">
    <w:abstractNumId w:val="7"/>
  </w:num>
  <w:num w:numId="6">
    <w:abstractNumId w:val="37"/>
  </w:num>
  <w:num w:numId="7">
    <w:abstractNumId w:val="29"/>
  </w:num>
  <w:num w:numId="8">
    <w:abstractNumId w:val="21"/>
  </w:num>
  <w:num w:numId="9">
    <w:abstractNumId w:val="28"/>
  </w:num>
  <w:num w:numId="10">
    <w:abstractNumId w:val="30"/>
  </w:num>
  <w:num w:numId="11">
    <w:abstractNumId w:val="13"/>
  </w:num>
  <w:num w:numId="12">
    <w:abstractNumId w:val="24"/>
  </w:num>
  <w:num w:numId="13">
    <w:abstractNumId w:val="18"/>
  </w:num>
  <w:num w:numId="14">
    <w:abstractNumId w:val="26"/>
  </w:num>
  <w:num w:numId="15">
    <w:abstractNumId w:val="20"/>
  </w:num>
  <w:num w:numId="16">
    <w:abstractNumId w:val="11"/>
  </w:num>
  <w:num w:numId="17">
    <w:abstractNumId w:val="2"/>
  </w:num>
  <w:num w:numId="18">
    <w:abstractNumId w:val="16"/>
  </w:num>
  <w:num w:numId="19">
    <w:abstractNumId w:val="23"/>
  </w:num>
  <w:num w:numId="20">
    <w:abstractNumId w:val="19"/>
  </w:num>
  <w:num w:numId="21">
    <w:abstractNumId w:val="6"/>
  </w:num>
  <w:num w:numId="22">
    <w:abstractNumId w:val="38"/>
  </w:num>
  <w:num w:numId="23">
    <w:abstractNumId w:val="3"/>
  </w:num>
  <w:num w:numId="24">
    <w:abstractNumId w:val="27"/>
  </w:num>
  <w:num w:numId="25">
    <w:abstractNumId w:val="5"/>
  </w:num>
  <w:num w:numId="26">
    <w:abstractNumId w:val="15"/>
  </w:num>
  <w:num w:numId="27">
    <w:abstractNumId w:val="17"/>
  </w:num>
  <w:num w:numId="28">
    <w:abstractNumId w:val="10"/>
  </w:num>
  <w:num w:numId="29">
    <w:abstractNumId w:val="32"/>
  </w:num>
  <w:num w:numId="30">
    <w:abstractNumId w:val="14"/>
  </w:num>
  <w:num w:numId="31">
    <w:abstractNumId w:val="12"/>
  </w:num>
  <w:num w:numId="32">
    <w:abstractNumId w:val="35"/>
  </w:num>
  <w:num w:numId="33">
    <w:abstractNumId w:val="4"/>
  </w:num>
  <w:num w:numId="34">
    <w:abstractNumId w:val="31"/>
  </w:num>
  <w:num w:numId="35">
    <w:abstractNumId w:val="36"/>
  </w:num>
  <w:num w:numId="36">
    <w:abstractNumId w:val="34"/>
  </w:num>
  <w:num w:numId="37">
    <w:abstractNumId w:val="25"/>
  </w:num>
  <w:num w:numId="38">
    <w:abstractNumId w:val="8"/>
  </w:num>
  <w:num w:numId="39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2A15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E00B0"/>
    <w:rsid w:val="00DE149B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F96EC-B7D4-416C-8C57-C2E7D9BE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2024-05-06T11:08:00Z</dcterms:created>
  <dcterms:modified xsi:type="dcterms:W3CDTF">2024-05-06T11:08:00Z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